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media/image1.png" ContentType="image/png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Témata ke společné části maturitní zkoušky</w:t>
      </w:r>
    </w:p>
    <w:p>
      <w:pPr>
        <w:pStyle w:val="Normal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ze základů společenských věd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right"/>
        <w:rPr/>
      </w:pPr>
      <w:r>
        <w:rPr/>
        <w:t>Školní rok: 2025/2026</w:t>
      </w:r>
    </w:p>
    <w:p>
      <w:pPr>
        <w:pStyle w:val="Normal"/>
        <w:jc w:val="right"/>
        <w:rPr/>
      </w:pPr>
      <w:r>
        <w:rPr/>
        <w:t>Třídy: 4.B, 4.C, 5.D, 8.E</w:t>
      </w:r>
    </w:p>
    <w:p>
      <w:pPr>
        <w:pStyle w:val="Normal"/>
        <w:jc w:val="right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Psychologie jako společenská věda,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Psychologie osobnosti,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Kognitivní psychologie,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Sociologie jako věda,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Člověk ve společnosti,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Politologie, stát a demokratické formy vlády,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Politické ideologie a extremismus,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Ústavní právo v ČR,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Teorie práva,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Systém práva,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Veřejné právo,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Soukromé právo,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Člověk v mezinárodním prostředí,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Role státu v ekonomice,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Člověk a svět práce,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Člověk ve světě financí,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Filozofie, její vznik a význam,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Filozofie </w:t>
      </w:r>
      <w:r>
        <w:rPr>
          <w:b/>
          <w:bCs/>
          <w:sz w:val="24"/>
          <w:szCs w:val="24"/>
        </w:rPr>
        <w:t xml:space="preserve">a etika </w:t>
      </w:r>
      <w:r>
        <w:rPr>
          <w:b/>
          <w:bCs/>
          <w:sz w:val="24"/>
          <w:szCs w:val="24"/>
        </w:rPr>
        <w:t>vrcholné a pozdní antiky,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Křes</w:t>
      </w:r>
      <w:r>
        <w:rPr>
          <w:b/>
          <w:bCs/>
          <w:sz w:val="24"/>
          <w:szCs w:val="24"/>
        </w:rPr>
        <w:t>ťansk</w:t>
      </w:r>
      <w:r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 xml:space="preserve"> filozofie patristiky, scholastiky a reformace,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Teorie poznání v období renesance a novověku, 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Filozofická antropologie</w:t>
      </w:r>
      <w:r>
        <w:rPr>
          <w:b/>
          <w:bCs/>
          <w:sz w:val="24"/>
          <w:szCs w:val="24"/>
        </w:rPr>
        <w:t xml:space="preserve"> v 19. a 20. století,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Proměny vztahu filozofie a vědy </w:t>
      </w:r>
      <w:bookmarkStart w:id="0" w:name="_GoBack"/>
      <w:bookmarkEnd w:id="0"/>
      <w:r>
        <w:rPr>
          <w:b/>
          <w:bCs/>
          <w:sz w:val="24"/>
          <w:szCs w:val="24"/>
        </w:rPr>
        <w:t>v 19. a 20. století.</w:t>
      </w:r>
    </w:p>
    <w:p>
      <w:pPr>
        <w:pStyle w:val="Normal"/>
        <w:pBdr>
          <w:bottom w:val="single" w:sz="6" w:space="1" w:color="000000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 w:themeFill="background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Témata byla projednána a odsouhlasena předmětovou komisí společenských věd 29. srpna 2025.</w:t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 w:themeFill="background1"/>
        <w:ind w:firstLine="708"/>
        <w:rPr>
          <w:sz w:val="24"/>
          <w:szCs w:val="24"/>
        </w:rPr>
      </w:pPr>
      <w:r>
        <w:rPr>
          <w:sz w:val="24"/>
          <w:szCs w:val="24"/>
        </w:rPr>
        <w:t>_______________</w:t>
        <w:tab/>
        <w:tab/>
        <w:t>___________________</w:t>
        <w:tab/>
        <w:tab/>
        <w:t>________________</w:t>
      </w:r>
    </w:p>
    <w:p>
      <w:pPr>
        <w:pStyle w:val="Normal"/>
        <w:shd w:val="clear" w:color="auto" w:fill="FFFFFF" w:themeFill="background1"/>
        <w:rPr>
          <w:b/>
          <w:bCs/>
          <w:sz w:val="160"/>
          <w:szCs w:val="160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     předseda PK</w:t>
        <w:tab/>
        <w:tab/>
        <w:t xml:space="preserve">           vyučující</w:t>
        <w:tab/>
        <w:tab/>
        <w:tab/>
        <w:t xml:space="preserve">       ředitel školy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8" w:top="765" w:footer="0" w:bottom="72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Normlntabulka"/>
      <w:tblW w:w="1045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485"/>
      <w:gridCol w:w="3485"/>
      <w:gridCol w:w="3485"/>
    </w:tblGrid>
    <w:tr>
      <w:trPr>
        <w:trHeight w:val="300" w:hRule="atLeast"/>
      </w:trPr>
      <w:tc>
        <w:tcPr>
          <w:tcW w:w="348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left="-115"/>
            <w:jc w:val="left"/>
            <w:rPr>
              <w:kern w:val="0"/>
              <w:lang w:val="cs-CZ" w:bidi="ar-SA"/>
            </w:rPr>
          </w:pPr>
          <w:r>
            <w:rPr>
              <w:kern w:val="0"/>
              <w:lang w:val="cs-CZ" w:bidi="ar-SA"/>
            </w:rPr>
          </w:r>
        </w:p>
      </w:tc>
      <w:tc>
        <w:tcPr>
          <w:tcW w:w="348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jc w:val="center"/>
            <w:rPr>
              <w:kern w:val="0"/>
              <w:lang w:val="cs-CZ" w:bidi="ar-SA"/>
            </w:rPr>
          </w:pPr>
          <w:r>
            <w:rPr>
              <w:kern w:val="0"/>
              <w:lang w:val="cs-CZ" w:bidi="ar-SA"/>
            </w:rPr>
          </w:r>
        </w:p>
      </w:tc>
      <w:tc>
        <w:tcPr>
          <w:tcW w:w="348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right="-115"/>
            <w:jc w:val="right"/>
            <w:rPr>
              <w:kern w:val="0"/>
              <w:lang w:val="cs-CZ" w:bidi="ar-SA"/>
            </w:rPr>
          </w:pPr>
          <w:r>
            <w:rPr>
              <w:kern w:val="0"/>
              <w:lang w:val="cs-CZ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Normlntabulka"/>
      <w:tblW w:w="1045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485"/>
      <w:gridCol w:w="3485"/>
      <w:gridCol w:w="3485"/>
    </w:tblGrid>
    <w:tr>
      <w:trPr>
        <w:trHeight w:val="300" w:hRule="atLeast"/>
      </w:trPr>
      <w:tc>
        <w:tcPr>
          <w:tcW w:w="348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left="-115"/>
            <w:jc w:val="left"/>
            <w:rPr>
              <w:kern w:val="0"/>
              <w:lang w:val="cs-CZ" w:bidi="ar-SA"/>
            </w:rPr>
          </w:pPr>
          <w:r>
            <w:rPr>
              <w:kern w:val="0"/>
              <w:lang w:val="cs-CZ" w:bidi="ar-SA"/>
            </w:rPr>
          </w:r>
        </w:p>
      </w:tc>
      <w:tc>
        <w:tcPr>
          <w:tcW w:w="348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jc w:val="center"/>
            <w:rPr>
              <w:kern w:val="0"/>
              <w:lang w:val="cs-CZ" w:bidi="ar-SA"/>
            </w:rPr>
          </w:pPr>
          <w:r>
            <w:rPr>
              <w:kern w:val="0"/>
              <w:lang w:val="cs-CZ" w:bidi="ar-SA"/>
            </w:rPr>
          </w:r>
        </w:p>
      </w:tc>
      <w:tc>
        <w:tcPr>
          <w:tcW w:w="348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right="-115"/>
            <w:jc w:val="right"/>
            <w:rPr>
              <w:kern w:val="0"/>
              <w:lang w:val="cs-CZ" w:bidi="ar-SA"/>
            </w:rPr>
          </w:pPr>
          <w:r>
            <w:rPr>
              <w:kern w:val="0"/>
              <w:lang w:val="cs-CZ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60" w:type="dxa"/>
      <w:jc w:val="left"/>
      <w:tblInd w:w="-17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144"/>
      <w:gridCol w:w="9615"/>
    </w:tblGrid>
    <w:tr>
      <w:trPr/>
      <w:tc>
        <w:tcPr>
          <w:tcW w:w="1144" w:type="dxa"/>
          <w:tcBorders/>
        </w:tcPr>
        <w:p>
          <w:pPr>
            <w:pStyle w:val="Header"/>
            <w:tabs>
              <w:tab w:val="left" w:pos="1276" w:leader="none"/>
              <w:tab w:val="center" w:pos="4536" w:leader="none"/>
              <w:tab w:val="right" w:pos="9072" w:leader="none"/>
            </w:tabs>
            <w:rPr>
              <w:b/>
              <w:sz w:val="32"/>
            </w:rPr>
          </w:pPr>
          <w:r>
            <w:rPr/>
            <mc:AlternateContent>
              <mc:Choice Requires="wps">
                <w:drawing>
                  <wp:anchor behindDoc="1" distT="2540" distB="1905" distL="1905" distR="2540" simplePos="0" locked="0" layoutInCell="1" allowOverlap="1" relativeHeight="3" wp14:anchorId="7BD56510">
                    <wp:simplePos x="0" y="0"/>
                    <wp:positionH relativeFrom="column">
                      <wp:posOffset>615950</wp:posOffset>
                    </wp:positionH>
                    <wp:positionV relativeFrom="paragraph">
                      <wp:posOffset>313055</wp:posOffset>
                    </wp:positionV>
                    <wp:extent cx="5144770" cy="9525"/>
                    <wp:effectExtent l="1905" t="2540" r="2540" b="1905"/>
                    <wp:wrapNone/>
                    <wp:docPr id="1" name="Přímá spojnice se šipkou 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144760" cy="93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32" coordsize="21600,21600" o:spt="32" path="m,l21600,21600nfe">
                    <v:stroke joinstyle="miter"/>
                    <v:path gradientshapeok="t" o:connecttype="rect" textboxrect="0,0,21600,21600"/>
                  </v:shapetype>
                  <v:shape id="shape_0" ID="Přímá spojnice se šipkou 2" path="m0,0l-2147483648,-2147483647e" stroked="t" o:allowincell="t" style="position:absolute;margin-left:48.5pt;margin-top:24.65pt;width:405.05pt;height:0.7pt;flip:y;mso-wrap-style:none;v-text-anchor:middle" wp14:anchorId="7BD56510" type="_x0000_t32">
                    <v:fill o:detectmouseclick="t" on="false"/>
                    <v:stroke color="black" weight="3240" joinstyle="round" endcap="flat"/>
                    <w10:wrap type="none"/>
                  </v:shape>
                </w:pict>
              </mc:Fallback>
            </mc:AlternateContent>
            <w:drawing>
              <wp:inline distT="0" distB="0" distL="0" distR="0">
                <wp:extent cx="586105" cy="495300"/>
                <wp:effectExtent l="0" t="0" r="0" b="0"/>
                <wp:docPr id="2" name="Obrázek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3554" t="0" r="11933" b="42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15" w:type="dxa"/>
          <w:tcBorders/>
        </w:tcPr>
        <w:p>
          <w:pPr>
            <w:pStyle w:val="Header"/>
            <w:tabs>
              <w:tab w:val="left" w:pos="1276" w:leader="none"/>
              <w:tab w:val="center" w:pos="4536" w:leader="none"/>
              <w:tab w:val="right" w:pos="9072" w:leader="none"/>
            </w:tabs>
            <w:spacing w:before="120" w:after="0"/>
            <w:jc w:val="left"/>
            <w:rPr/>
          </w:pPr>
          <w:r>
            <w:rPr>
              <w:b/>
              <w:bCs/>
              <w:sz w:val="32"/>
              <w:szCs w:val="32"/>
            </w:rPr>
            <w:t>Gymnázium, Olomouc, Čajkovského 9</w:t>
          </w:r>
        </w:p>
        <w:p>
          <w:pPr>
            <w:pStyle w:val="Header"/>
            <w:tabs>
              <w:tab w:val="left" w:pos="1276" w:leader="none"/>
              <w:tab w:val="center" w:pos="4536" w:leader="none"/>
              <w:tab w:val="right" w:pos="9072" w:leader="none"/>
            </w:tabs>
            <w:spacing w:before="120" w:after="0"/>
            <w:jc w:val="left"/>
            <w:rPr>
              <w:b/>
              <w:bCs/>
              <w:sz w:val="32"/>
              <w:szCs w:val="32"/>
            </w:rPr>
          </w:pPr>
          <w:r>
            <w:rPr>
              <w:i/>
              <w:iCs/>
              <w:position w:val="20"/>
              <w:sz w:val="18"/>
              <w:szCs w:val="18"/>
            </w:rPr>
            <w:t>Čajkovského 9, 779 00 Olomouc, tel.: 585 412 493, e-mail: skola@gcajkol.cz, IČ: 00848956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69d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semiHidden/>
    <w:qFormat/>
    <w:rsid w:val="00f969dc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patChar" w:customStyle="1">
    <w:name w:val="Zápatí Char"/>
    <w:basedOn w:val="DefaultParagraphFont"/>
    <w:uiPriority w:val="99"/>
    <w:qFormat/>
    <w:rsid w:val="0025104e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Noto Sans Devanagari"/>
    </w:rPr>
  </w:style>
  <w:style w:type="paragraph" w:styleId="Zhlavazpatuser" w:customStyle="1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semiHidden/>
    <w:rsid w:val="00f969d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unhideWhenUsed/>
    <w:rsid w:val="0025104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0a1c6b"/>
    <w:pPr>
      <w:suppressAutoHyphens w:val="false"/>
      <w:ind w:left="708"/>
    </w:pPr>
    <w:rPr>
      <w:sz w:val="24"/>
      <w:szCs w:val="24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LibreOffice/25.2.6.2$Linux_X86_64 LibreOffice_project/520$Build-2</Application>
  <AppVersion>15.0000</AppVersion>
  <Pages>1</Pages>
  <Words>171</Words>
  <Characters>1000</Characters>
  <CharactersWithSpaces>1153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2021-10-09T18:09:00Z</dcterms:created>
  <dc:creator>Petr Kameníček</dc:creator>
  <dc:description/>
  <dc:language>cs-CZ</dc:language>
  <cp:lastModifiedBy/>
  <cp:lastPrinted>2021-05-12T14:14:00Z</cp:lastPrinted>
  <dcterms:modified xsi:type="dcterms:W3CDTF">2026-03-19T11:38:19Z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